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§923. Articles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Articles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§923. ARTICLES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