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 Surrender of charter upon foreign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Surrender of charter upon foreign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§934. SURRENDER OF CHARTER UPON FOREIGN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