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§942. ARTICLES OF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