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Abandonment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Abandonment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§958. ABANDONMENT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