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Incorporation</w:t>
      </w:r>
    </w:p>
    <w:p>
      <w:pPr>
        <w:jc w:val="both"/>
        <w:spacing w:before="100" w:after="100"/>
        <w:ind w:start="360"/>
        <w:ind w:firstLine="360"/>
      </w:pPr>
      <w:r>
        <w:rPr/>
      </w:r>
      <w:r>
        <w:rPr/>
      </w:r>
      <w:r>
        <w:t xml:space="preserve">Persons of lawful age may organize themselves into a nonprofit-sharing corporation for the purpose of purchasing land for a burying ground and for the purpose of owning, maintaining and operating a cemetery or cemeteries, as provided in </w:t>
      </w:r>
      <w:r>
        <w:t>sections 901</w:t>
      </w:r>
      <w:r>
        <w:t xml:space="preserve"> and </w:t>
      </w:r>
      <w:r>
        <w:t>903</w:t>
      </w:r>
      <w:r>
        <w:t xml:space="preserve"> and may proceed in the manner and, except as restricted, with the powers provided in </w:t>
      </w:r>
      <w:r>
        <w:t>section 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770,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66 (AMD). PL 1975, c. 770,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§1071.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