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 Authority to 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Authority to hold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§1261. AUTHORITY TO 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