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Inventories of cemeteries or burial grounds</w:t>
      </w:r>
    </w:p>
    <w:p>
      <w:pPr>
        <w:jc w:val="both"/>
        <w:spacing w:before="100" w:after="100"/>
        <w:ind w:start="360"/>
        <w:ind w:firstLine="360"/>
      </w:pPr>
      <w:r>
        <w:rPr/>
      </w:r>
      <w:r>
        <w:rPr/>
      </w:r>
      <w:r>
        <w:t xml:space="preserve">A municipality or, in the case of unorganized territory, a county may contract with a cemetery association or historical society to undertake, complete and keep current an inventory of cemeteries and burial grounds located in that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 Inventories of cemeteries or burial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Inventories of cemeteries or burial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§1372. INVENTORIES OF CEMETERIES OR BURIAL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