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1373</w:t>
        <w:t xml:space="preserve">.  </w:t>
      </w:r>
      <w:r>
        <w:rPr>
          <w:b/>
        </w:rPr>
        <w:t xml:space="preserve">Authority to maintain</w:t>
      </w:r>
    </w:p>
    <w:p>
      <w:pPr>
        <w:jc w:val="both"/>
        <w:spacing w:before="100" w:after="100"/>
        <w:ind w:start="360"/>
        <w:ind w:firstLine="360"/>
      </w:pPr>
      <w:r>
        <w:rPr/>
      </w:r>
      <w:r>
        <w:rPr/>
      </w:r>
      <w:r>
        <w:t xml:space="preserve">A municipality may authorize any cemetery association or historical society to maintain any cemetery or burial ground owned, maintained or operated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326,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§1373. Authority to maintain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§1373. Authority to maintain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§1373. AUTHORITY TO MAINTAIN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