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Service of notice</w:t>
      </w:r>
    </w:p>
    <w:p>
      <w:pPr>
        <w:jc w:val="both"/>
        <w:spacing w:before="100" w:after="100"/>
        <w:ind w:start="360"/>
        <w:ind w:firstLine="360"/>
      </w:pPr>
      <w:r>
        <w:rPr/>
      </w:r>
      <w:r>
        <w:rPr/>
      </w:r>
      <w:r>
        <w:t xml:space="preserve">The person, association, corporation or municipality having ownership or management of a cemetery shall choose that method of notice most reasonably anticipated to be effective.  Personal service on the record owner in the same way service of process is made in accordance with Maine Rules of Civil Procedure shall be the preferred method.  If that is not reasonably possible, personal service in the same manner shall be considered on the heirs or devisees.  If that is not reasonably possible, the notice shall be served by delivery by certified mail, return receipt requested, to the record owner at the owner's last known address.  If the record owner is deceased or his whereabouts are unknown, the notice shall be served by delivery by certified mail, return receipt requested, to the heirs or devisees of the record owner, to their last known address.  If the address of the record owner or heirs or devisees of the record owner cannot be ascertained, then notice of the forfeiture shall be given by one publication in the official newspaper of the county in which the cemetery is located.  In addition, the notice shall be recorded in the registry of deeds in the county where the cemetery lot is located.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 Service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Service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§1384. SERVICE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