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 Bylaws; minimum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Bylaws; minimum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§1750. BYLAWS; MINIMUM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