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2941</w:t>
        <w:t xml:space="preserve">.  </w:t>
      </w:r>
      <w:r>
        <w:rPr>
          <w:b/>
        </w:rPr>
        <w:t xml:space="preserve">Authority to raise money</w:t>
      </w:r>
    </w:p>
    <w:p>
      <w:pPr>
        <w:jc w:val="both"/>
        <w:spacing w:before="100" w:after="100"/>
        <w:ind w:start="360"/>
        <w:ind w:firstLine="360"/>
      </w:pPr>
      <w:r>
        <w:rPr/>
      </w:r>
      <w:r>
        <w:rPr/>
      </w:r>
      <w:r>
        <w:t xml:space="preserve">Every parish, at a legal meeting, may raise money for the support of the public ministry of religion, for building, repairing or removing houses of public worship and for other necessary parish charges.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§2941. Authority to raise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§2941. Authority to raise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§2941. AUTHORITY TO RAISE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