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2943</w:t>
        <w:t xml:space="preserve">.  </w:t>
      </w:r>
      <w:r>
        <w:rPr>
          <w:b/>
        </w:rPr>
        <w:t xml:space="preserve">Payment of tax by sale of pews</w:t>
      </w:r>
    </w:p>
    <w:p>
      <w:pPr>
        <w:jc w:val="both"/>
        <w:spacing w:before="100" w:after="100"/>
        <w:ind w:start="360"/>
        <w:ind w:firstLine="360"/>
      </w:pPr>
      <w:r>
        <w:rPr/>
      </w:r>
      <w:r>
        <w:rPr/>
      </w:r>
      <w:r>
        <w:t xml:space="preserve">When taxes on pews and seats remain unpaid for 6 months after their assessment, the treasurer shall sell them at auction, first posting notice thereof at the principal outer door of such house of worship, 3 weeks before the time of sale, stating the numbers, if any, of the pews or seats and the amount of tax on each; and shall execute and deliver a deed thereof to the purchaser, and pay to the owner the overplus, after deducting the amount of tax and incidental charges.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§2943. Payment of tax by sale of pews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§2943. Payment of tax by sale of pews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§2943. PAYMENT OF TAX BY SALE OF PEWS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