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§3167-A. EXPENDITURE OF MINISTERIAL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