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3171</w:t>
        <w:t xml:space="preserve">.  </w:t>
      </w:r>
      <w:r>
        <w:rPr>
          <w:b/>
        </w:rPr>
        <w:t xml:space="preserve">Trustees of parish lands</w:t>
      </w:r>
    </w:p>
    <w:p>
      <w:pPr>
        <w:jc w:val="both"/>
        <w:spacing w:before="100" w:after="100"/>
        <w:ind w:start="360"/>
        <w:ind w:firstLine="360"/>
      </w:pPr>
      <w:r>
        <w:rPr/>
      </w:r>
      <w:r>
        <w:rPr/>
      </w:r>
      <w:r>
        <w:t xml:space="preserve">When ministerial lands are vested in a parish, the assessors, clerk and treasurer, where no other trustees are appointed for that purpose, shall be a corporation and trustees of such ministerial fund with like powers and under like liabilities as the municipal officers, town clerk and treasurer; pay the annual income of such lands and of the proceeds of their sale according to the terms of the grants and reservations by which they were so vested; and at each annual meeting for choice of parish officers, exhibit an account of their proceedings and a statement of funds, receipts and expenditures.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§3171. Trustees of parish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§3171. Trustees of parish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§3171. TRUSTEES OF PARISH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