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3172</w:t>
        <w:t xml:space="preserve">.  </w:t>
      </w:r>
      <w:r>
        <w:rPr>
          <w:b/>
        </w:rPr>
        <w:t xml:space="preserve">First meeting of trustees</w:t>
      </w:r>
    </w:p>
    <w:p>
      <w:pPr>
        <w:jc w:val="both"/>
        <w:spacing w:before="100" w:after="100"/>
        <w:ind w:start="360"/>
        <w:ind w:firstLine="360"/>
      </w:pPr>
      <w:r>
        <w:rPr/>
      </w:r>
      <w:r>
        <w:rPr/>
      </w:r>
      <w:r>
        <w:t xml:space="preserve">The first meeting in any year of the trustees constituted by </w:t>
      </w:r>
      <w:r>
        <w:t>sections 3162</w:t>
      </w:r>
      <w:r>
        <w:t xml:space="preserve"> and </w:t>
      </w:r>
      <w:r>
        <w:t>3171</w:t>
      </w:r>
      <w:r>
        <w:t xml:space="preserve"> may be called by 7 days' personal notice of the time and place thereof, given by one of them to all the others.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§3172. First meeting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§3172. First meeting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§3172. FIRST MEETING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