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Application of Maine Business Corporation Act</w:t>
      </w:r>
    </w:p>
    <w:p>
      <w:pPr>
        <w:jc w:val="both"/>
        <w:spacing w:before="100" w:after="100"/>
        <w:ind w:start="360"/>
        <w:ind w:firstLine="360"/>
      </w:pPr>
      <w:r>
        <w:rPr/>
      </w:r>
      <w:r>
        <w:rPr/>
      </w:r>
      <w:r>
        <w:t xml:space="preserve">The Maine Business Corporation Act applies to professional corporations, both domestic and foreign, to the extent not inconsistent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 Application of Maine Business Corporation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Application of Maine Business Corporation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§722. APPLICATION OF MAINE BUSINESS CORPORATION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