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Purposes</w:t>
      </w:r>
    </w:p>
    <w:p>
      <w:pPr>
        <w:jc w:val="both"/>
        <w:spacing w:before="100" w:after="0"/>
        <w:ind w:start="360"/>
        <w:ind w:firstLine="360"/>
      </w:pPr>
      <w:r>
        <w:rPr>
          <w:b/>
        </w:rPr>
        <w:t>1</w:t>
        <w:t xml:space="preserve">.  </w:t>
      </w:r>
      <w:r>
        <w:rPr>
          <w:b/>
        </w:rPr>
        <w:t xml:space="preserve">Single profession.</w:t>
        <w:t xml:space="preserve"> </w:t>
      </w:r>
      <w:r>
        <w:t xml:space="preserve"> </w:t>
      </w:r>
      <w:r>
        <w:t xml:space="preserve">Except to the extent authorized by </w:t>
      </w:r>
      <w:r>
        <w:t>subsections 2</w:t>
      </w:r>
      <w:r>
        <w:t xml:space="preserve"> and </w:t>
      </w:r>
      <w:r>
        <w:t>3</w:t>
      </w:r>
      <w:r>
        <w:t xml:space="preserve">, a corporation may elect professional corporation status under </w:t>
      </w:r>
      <w:r>
        <w:t>section 731</w:t>
      </w:r>
      <w:r>
        <w:t xml:space="preserve"> solely for the purpose of rendering professional services, including services ancillary to them, and solely within a single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Multiple professions.</w:t>
        <w:t xml:space="preserve"> </w:t>
      </w:r>
      <w:r>
        <w:t xml:space="preserve"> </w:t>
      </w:r>
      <w:r>
        <w:t xml:space="preserve">A corporation may elect professional corporation status under </w:t>
      </w:r>
      <w:r>
        <w:t>section 731</w:t>
      </w:r>
      <w:r>
        <w:t xml:space="preserve"> for the purpose of rendering professional services within 2 or more professions and for the purpose of engaging in any lawful business authorized by </w:t>
      </w:r>
      <w:r>
        <w:t>Title 13‑C, section 301</w:t>
      </w:r>
      <w:r>
        <w:t xml:space="preserve">, to the extent the combination of professional purposes or of professional and business purposes is not prohibited by the licensing law of this State applicable to each profession in the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Accountants.</w:t>
        <w:t xml:space="preserve"> </w:t>
      </w:r>
      <w:r>
        <w:t xml:space="preserve"> </w:t>
      </w:r>
      <w:r>
        <w:t xml:space="preserve">Nonlicensed individuals and qualified employee stock ownership plans or programs or other employee ownership programs and other entities may organize with individuals who are licensed under </w:t>
      </w:r>
      <w:r>
        <w:t>Title 32, chapter 113</w:t>
      </w:r>
      <w:r>
        <w:t xml:space="preserve"> and may become shareholders of a firm licensed to practice public accountancy under </w:t>
      </w:r>
      <w:r>
        <w:t>Title 32, section 12252</w:t>
      </w:r>
      <w:r>
        <w:t xml:space="preserve">, as long as all of the requirements for licensure under </w:t>
      </w:r>
      <w:r>
        <w:t>Title 32, section 12252, subsection 3</w:t>
      </w:r>
      <w:r>
        <w:t xml:space="preserve"> are met by the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 (AMD).]</w:t>
      </w:r>
    </w:p>
    <w:p>
      <w:pPr>
        <w:jc w:val="both"/>
        <w:spacing w:before="100" w:after="0"/>
        <w:ind w:start="360"/>
        <w:ind w:firstLine="360"/>
      </w:pPr>
      <w:r>
        <w:rPr>
          <w:b/>
        </w:rPr>
        <w:t>4</w:t>
        <w:t xml:space="preserve">.  </w:t>
      </w:r>
      <w:r>
        <w:rPr>
          <w:b/>
        </w:rPr>
        <w:t xml:space="preserve">Dentists, denturists and independent practice dental hygienists.</w:t>
        <w:t xml:space="preserve"> </w:t>
      </w:r>
      <w:r>
        <w:t xml:space="preserve"> </w:t>
      </w:r>
      <w:r>
        <w:t xml:space="preserve">For the purposes of this chapter, a denturist or independent practice dental hygienist licensed under </w:t>
      </w:r>
      <w:r>
        <w:t>Title 32, chapter 143</w:t>
      </w:r>
      <w:r>
        <w:t xml:space="preserve"> may organize with a dentist who is licensed under </w:t>
      </w:r>
      <w:r>
        <w:t>Title 32, chapter 143</w:t>
      </w:r>
      <w:r>
        <w:t xml:space="preserve"> and may become a shareholder of a dental practice incorporated under the corporation laws.  At no time may one or more denturists or independent practice dental hygienists in sum have an equal or greater ownership interest in a dental practice than the dentist or dentists have in that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 (AMD).]</w:t>
      </w:r>
    </w:p>
    <w:p>
      <w:pPr>
        <w:jc w:val="both"/>
        <w:spacing w:before="100" w:after="0"/>
        <w:ind w:start="360"/>
        <w:ind w:firstLine="360"/>
      </w:pPr>
      <w:r>
        <w:rPr>
          <w:b/>
        </w:rPr>
        <w:t>5</w:t>
        <w:t xml:space="preserve">.  </w:t>
      </w:r>
      <w:r>
        <w:rPr>
          <w:b/>
        </w:rPr>
        <w:t xml:space="preserve">Legal guardian or personal representative of deceased or incapacitated dentist.</w:t>
        <w:t xml:space="preserve"> </w:t>
      </w:r>
      <w:r>
        <w:t xml:space="preserve"> </w:t>
      </w:r>
      <w:r>
        <w:t xml:space="preserve">For the purposes of this chapter, the legal guardian or personal representative of a dentist licensed under </w:t>
      </w:r>
      <w:r>
        <w:t>Title 32, chapter 143</w:t>
      </w:r>
      <w:r>
        <w:t xml:space="preserve"> may contract with another dentist to continue the operations of the practice of the deceased or incapacitated dentist for a period of up to 24 months after the death or incapacitation of the dentist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§26 (AMD); PL 2019, c. 417, Pt. B, §14 (AFF).]</w:t>
      </w:r>
    </w:p>
    <w:p>
      <w:pPr>
        <w:jc w:val="both"/>
        <w:spacing w:before="100" w:after="0"/>
        <w:ind w:start="360"/>
        <w:ind w:firstLine="360"/>
      </w:pPr>
      <w:r>
        <w:rPr>
          <w:b/>
        </w:rPr>
        <w:t>6</w:t>
        <w:t xml:space="preserve">.  </w:t>
      </w:r>
      <w:r>
        <w:rPr>
          <w:b/>
        </w:rPr>
        <w:t xml:space="preserve">Legal guardian or personal representative of deceased or incapacitated veterinarian.</w:t>
        <w:t xml:space="preserve"> </w:t>
      </w:r>
      <w:r>
        <w:t xml:space="preserve"> </w:t>
      </w:r>
      <w:r>
        <w:t xml:space="preserve">For the purposes of this chapter, the legal guardian or personal representative of a veterinarian licensed under </w:t>
      </w:r>
      <w:r>
        <w:t>Title 32, chapter 71‑A</w:t>
      </w:r>
      <w:r>
        <w:t xml:space="preserve"> may contract with another veterinarian to continue the operations of the practice of the deceased or incapacitated veterinarian for a period of up to 24 months after the death or incapacitation of the veterinarian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§B2 (AMD). PL 2007, c. 210, §1 (AMD). PL 2007, c. 620, Pt. D, §1 (AMD). PL 2013, c. 46, §1 (AMD). PL 2015, c. 429, §§2, 3 (AMD). PL 2017, c. 402, Pt. C, §§26, 27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