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§1452. ACTIONS ON COVENANT; ENCUMBRANCE AS DOWER; ASSIGNMENT AND MEASURE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