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w:t>
        <w:t xml:space="preserve">.  </w:t>
      </w:r>
      <w:r>
        <w:rPr>
          <w:b/>
        </w:rPr>
        <w:t xml:space="preserve">Death of joint obligor</w:t>
      </w:r>
    </w:p>
    <w:p>
      <w:pPr>
        <w:jc w:val="both"/>
        <w:spacing w:before="100" w:after="100"/>
        <w:ind w:start="360"/>
        <w:ind w:firstLine="360"/>
      </w:pPr>
      <w:r>
        <w:rPr/>
      </w:r>
      <w:r>
        <w:rPr/>
      </w:r>
      <w:r>
        <w:t xml:space="preserve">On the death of a joint obligor in contract, his estate shall be bound as such, jointly and severally with the surviving obligor or obligors.</w:t>
      </w:r>
      <w:r>
        <w:t xml:space="preserve">  </w:t>
      </w:r>
      <w:r xmlns:wp="http://schemas.openxmlformats.org/drawingml/2010/wordprocessingDrawing" xmlns:w15="http://schemas.microsoft.com/office/word/2012/wordml">
        <w:rPr>
          <w:rFonts w:ascii="Arial" w:hAnsi="Arial" w:cs="Arial"/>
          <w:sz w:val="22"/>
          <w:szCs w:val="22"/>
        </w:rPr>
        <w:t xml:space="preserve">[PL 1965, c. 351,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 Death of joint obligor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 Death of joint obligor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§16. DEATH OF JOINT OBLIGOR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