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§1602-B. Interest before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§1602-B. Interest before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§1602-B. INTEREST BEFORE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