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Part taken, damage to whole</w:t>
      </w:r>
    </w:p>
    <w:p>
      <w:pPr>
        <w:jc w:val="both"/>
        <w:spacing w:before="100" w:after="100"/>
        <w:ind w:start="360"/>
        <w:ind w:firstLine="360"/>
      </w:pPr>
      <w:r>
        <w:rPr/>
      </w:r>
      <w:r>
        <w:rPr/>
      </w:r>
      <w:r>
        <w:t xml:space="preserve">When the premises consist of a mill, mill privilege or other estate more than sufficient to satisfy the execution, which cannot be divided by metes and bounds without damage to the whole, an undivided part of it may be taken and the whole described, or it may be levied on as provided in </w:t>
      </w:r>
      <w:r>
        <w:t>section 2009</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§2010. Part taken, damage to whole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Part taken, damage to whole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§2010. PART TAKEN, DAMAGE TO WHOLE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