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Levy on land fraudulently conveyed or disseized</w:t>
      </w:r>
    </w:p>
    <w:p>
      <w:pPr>
        <w:jc w:val="both"/>
        <w:spacing w:before="100" w:after="100"/>
        <w:ind w:start="360"/>
        <w:ind w:firstLine="360"/>
      </w:pPr>
      <w:r>
        <w:rPr/>
      </w:r>
      <w:r>
        <w:rPr/>
      </w:r>
      <w:r>
        <w:t xml:space="preserve">A levy may be made on land fraudulently conveyed by a debtor, or of which he has been disseized and into which he has a right of entry. In such case, the tenant in possession shall not be ousted, but the officer shall deliver to the creditor a momentary seizin, sufficient to enable him to maintain an action for its recovery in his own name.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Levy on land fraudulently conveyed or disseized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Levy on land fraudulently conveyed or disseized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§2014. LEVY ON LAND FRAUDULENTLY CONVEYED OR DISSEIZED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