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Bond if motion granted</w:t>
      </w:r>
    </w:p>
    <w:p>
      <w:pPr>
        <w:jc w:val="both"/>
        <w:spacing w:before="100" w:after="100"/>
        <w:ind w:start="360"/>
        <w:ind w:firstLine="360"/>
      </w:pPr>
      <w:r>
        <w:rPr/>
      </w:r>
      <w:r>
        <w:rPr/>
      </w:r>
      <w:r>
        <w:t xml:space="preserve">If leave is granted, the plaintiff in the subsequent action shall give bond or enter into recognizance with sufficient surety in such sum as the court orders, to pay the plaintiff in the prior action all damages and costs occasioned by such defense. An entry of record shall be made that he is admitted to defend such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 Bond if motion granted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Bond if motion granted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§202. BOND IF MOTION GRANTED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