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Residence exemption</w:t>
      </w:r>
    </w:p>
    <w:p>
      <w:pPr>
        <w:jc w:val="both"/>
        <w:spacing w:before="100" w:after="100"/>
        <w:ind w:start="360"/>
        <w:ind w:firstLine="360"/>
      </w:pPr>
      <w:r>
        <w:rPr/>
      </w:r>
      <w:r>
        <w:rPr/>
      </w:r>
      <w:r>
        <w:t xml:space="preserve">Exemptions with respect to residences are governed by </w:t>
      </w:r>
      <w:r>
        <w:t>subchapter II, Article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§4561. Residence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Residence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§4561. RESIDENCE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