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Actions on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Actions on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§51. ACTIONS ON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