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5517</w:t>
        <w:t xml:space="preserve">.  </w:t>
      </w:r>
      <w:r>
        <w:rPr>
          <w:b/>
        </w:rPr>
        <w:t xml:space="preserve">Refusal of copy of precept; writ granted</w:t>
      </w:r>
    </w:p>
    <w:p>
      <w:pPr>
        <w:jc w:val="both"/>
        <w:spacing w:before="100" w:after="100"/>
        <w:ind w:start="360"/>
        <w:ind w:firstLine="360"/>
      </w:pPr>
      <w:r>
        <w:rPr/>
      </w:r>
      <w:r>
        <w:rPr/>
      </w:r>
      <w:r>
        <w:t xml:space="preserve">If the prison keeper or other officer having the custody of such person refuses or unreasonably delays to deliver to the applicant an attested copy of the precept by which he restrains him on demand therefor, the court or justice, on proof of such demand and refusal, shall forthwith issue the writ as prayed for.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§5517. Refusal of copy of precept; writ granted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§5517. Refusal of copy of precept; writ granted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§5517. REFUSAL OF COPY OF PRECEPT; WRIT GRANTED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