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 Monetary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Monetary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§5604. MONETARY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