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5801</w:t>
        <w:t xml:space="preserve">.  </w:t>
      </w:r>
      <w:r>
        <w:rPr>
          <w:b/>
        </w:rPr>
        <w:t xml:space="preserve">When action maintainable</w:t>
      </w:r>
    </w:p>
    <w:p>
      <w:pPr>
        <w:jc w:val="both"/>
        <w:spacing w:before="100" w:after="100"/>
        <w:ind w:start="360"/>
        <w:ind w:firstLine="360"/>
      </w:pPr>
      <w:r>
        <w:rPr/>
      </w:r>
      <w:r>
        <w:rPr/>
      </w:r>
      <w:r>
        <w:t xml:space="preserve">A person who has been declared a bankrupt or an insolvent may maintain an action respecting his former property in his own name, unless objection is made, if before final judgment the assent of his trustee or assignee is filed in the office of the clerk of the court in which the action is pending.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§5801. When action maintainable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§5801. When action maintainable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§5801. WHEN ACTION MAINTAINABLE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