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6000</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1-A</w:t>
        <w:t xml:space="preserve">.  </w:t>
      </w:r>
      <w:r>
        <w:rPr>
          <w:b/>
        </w:rPr>
        <w:t>(TEXT EFFECTIVE 1/01/25)</w:t>
        <w:t xml:space="preserve"> </w:t>
      </w:r>
      <w:r>
        <w:rPr>
          <w:b/>
        </w:rPr>
        <w:t xml:space="preserve">Mandatory recurring fee.</w:t>
        <w:t xml:space="preserve"> </w:t>
      </w:r>
      <w:r>
        <w:t xml:space="preserve"> </w:t>
      </w:r>
      <w:r>
        <w:t xml:space="preserve">"Mandatory recurring fee" means an amount of money paid, other than rent, on a predetermined recurring basis to fulfill requirements within a lease or tenancy at will agreement related to services or common areas. "Mandatory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§3 (NEW); PL 2023, c. 594, §13 (AFF).]</w:t>
      </w:r>
    </w:p>
    <w:p>
      <w:pPr>
        <w:jc w:val="both"/>
        <w:spacing w:before="100" w:after="0"/>
        <w:ind w:start="360"/>
        <w:ind w:firstLine="360"/>
      </w:pPr>
      <w:r>
        <w:rPr>
          <w:b/>
        </w:rPr>
        <w:t>1-B</w:t>
        <w:t xml:space="preserve">.  </w:t>
      </w:r>
      <w:r>
        <w:rPr>
          <w:b/>
        </w:rPr>
        <w:t>(TEXT EFFECTIVE 1/01/25)</w:t>
        <w:t xml:space="preserve"> </w:t>
      </w:r>
      <w:r>
        <w:rPr>
          <w:b/>
        </w:rPr>
        <w:t xml:space="preserve">Rent.</w:t>
        <w:t xml:space="preserve"> </w:t>
      </w:r>
      <w:r>
        <w:t xml:space="preserve"> </w:t>
      </w:r>
      <w:r>
        <w:t xml:space="preserve">"Rent" means an amount of money paid on a predetermined recurring basis to fulfill the requirements of a lease or tenancy at will agreement. "Rent" does not include security deposits, utility service costs, fees,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§4 (NEW); PL 2023, c. 594, §13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100"/>
        <w:ind w:start="360"/>
        <w:ind w:firstLine="360"/>
      </w:pPr>
      <w:r>
        <w:rPr>
          <w:b/>
        </w:rPr>
        <w:t>3-A</w:t>
        <w:t xml:space="preserve">.  </w:t>
      </w:r>
      <w:r>
        <w:rPr>
          <w:b/>
        </w:rPr>
        <w:t>(TEXT EFFECTIVE 1/01/25)</w:t>
        <w:t xml:space="preserve"> </w:t>
      </w:r>
      <w:r>
        <w:rPr>
          <w:b/>
        </w:rPr>
        <w:t xml:space="preserve">Utility service costs.</w:t>
        <w:t xml:space="preserve"> </w:t>
      </w:r>
      <w:r>
        <w:t xml:space="preserve"> </w:t>
      </w:r>
      <w:r>
        <w:t xml:space="preserve">"Utility service costs" means costs associated with a dwelling unit's use of:</w:t>
      </w:r>
    </w:p>
    <w:p>
      <w:pPr>
        <w:jc w:val="both"/>
        <w:spacing w:before="100" w:after="0"/>
        <w:ind w:start="720"/>
      </w:pPr>
      <w:r>
        <w:rPr/>
        <w:t>A</w:t>
        <w:t xml:space="preserve">.  </w:t>
      </w:r>
      <w:r>
        <w:rPr/>
      </w:r>
      <w:r>
        <w:t xml:space="preserve">Energy delivered for that dwelling unit;</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B</w:t>
        <w:t xml:space="preserve">.  </w:t>
      </w:r>
      <w:r>
        <w:rPr/>
      </w:r>
      <w:r>
        <w:t xml:space="preserve">Services provided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C</w:t>
        <w:t xml:space="preserve">.  </w:t>
      </w:r>
      <w:r>
        <w:rPr/>
      </w:r>
      <w:r>
        <w:t xml:space="preserve">Services provided by a communications service as defined in </w:t>
      </w:r>
      <w:r>
        <w:t>Title 35‑A, section 9202,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D</w:t>
        <w:t xml:space="preserve">.  </w:t>
      </w:r>
      <w:r>
        <w:rPr/>
      </w:r>
      <w:r>
        <w:t xml:space="preserve">Services provided by a municipality.</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§5 (NEW); PL 2023, c. 594, §13 (AFF).]</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PL 2023, c. 594, §§3-5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