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Jurisdiction</w:t>
      </w:r>
    </w:p>
    <w:p>
      <w:pPr>
        <w:jc w:val="both"/>
        <w:spacing w:before="100" w:after="100"/>
        <w:ind w:start="360"/>
        <w:ind w:firstLine="360"/>
      </w:pPr>
      <w:r>
        <w:rPr/>
      </w:r>
      <w:r>
        <w:rPr/>
      </w:r>
      <w:r>
        <w:t xml:space="preserve">The District Court shall have jurisdiction of cases of forcible entry and detainer.</w:t>
      </w:r>
    </w:p>
    <w:p>
      <w:pPr>
        <w:jc w:val="both"/>
        <w:spacing w:before="100" w:after="100"/>
        <w:ind w:start="360"/>
        <w:ind w:firstLine="360"/>
      </w:pPr>
      <w:r>
        <w:rPr/>
      </w:r>
      <w:r>
        <w:rPr/>
      </w:r>
      <w:r>
        <w:t xml:space="preserve">The court shall schedule and hold the hearing as soon as practicable, but no later than 10 days after the return day except that the court may grant a continuance for good cause shown.  Any defendant requesting a recorded hearing shall file a written answer enumerating all known defenses on or before the return day.</w:t>
      </w:r>
      <w:r>
        <w:t xml:space="preserve">  </w:t>
      </w:r>
      <w:r xmlns:wp="http://schemas.openxmlformats.org/drawingml/2010/wordprocessingDrawing" xmlns:w15="http://schemas.microsoft.com/office/word/2012/wordml">
        <w:rPr>
          <w:rFonts w:ascii="Arial" w:hAnsi="Arial" w:cs="Arial"/>
          <w:sz w:val="22"/>
          <w:szCs w:val="22"/>
        </w:rPr>
        <w:t xml:space="preserve">[PL 1997, c. 151,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§5 (AMD). PL 1989, c. 452, §1 (AMD). PL 1997, c. 151,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