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A. Landlord's duty to miti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A. Landlord's duty to mitig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0-A. LANDLORD'S DUTY TO MITI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