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§6021. Implied warranty and covenant of habitability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Implied warranty and covenant of habitability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§6021. IMPLIED WARRANTY AND COVENANT OF HABITABILITY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