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§6052. PARTNERS AND PART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