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6354</w:t>
        <w:t xml:space="preserve">.  </w:t>
      </w:r>
      <w:r>
        <w:rPr>
          <w:b/>
        </w:rPr>
        <w:t xml:space="preserve">Scope of interpleader unaffected -- Article IV</w:t>
      </w:r>
    </w:p>
    <w:p>
      <w:pPr>
        <w:jc w:val="both"/>
        <w:spacing w:before="100" w:after="100"/>
        <w:ind w:start="360"/>
        <w:ind w:firstLine="360"/>
      </w:pPr>
      <w:r>
        <w:rPr/>
      </w:r>
      <w:r>
        <w:rPr/>
      </w:r>
      <w:r>
        <w:t xml:space="preserve">Nothing in this compact shall be construed to change any requirement or limitation on the scope of interpleader of the state in which the interpleader proceeding is pending except in relation to acquisition of personal jurisdiction.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§6354. Scope of interpleader unaffected -- Article IV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§6354. Scope of interpleader unaffected -- Article IV</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§6354. SCOPE OF INTERPLEADER UNAFFECTED -- ARTICLE IV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