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6355</w:t>
        <w:t xml:space="preserve">.  </w:t>
      </w:r>
      <w:r>
        <w:rPr>
          <w:b/>
        </w:rPr>
        <w:t xml:space="preserve">Finality of judgment -- Article V</w:t>
      </w:r>
    </w:p>
    <w:p>
      <w:pPr>
        <w:jc w:val="both"/>
        <w:spacing w:before="100" w:after="100"/>
        <w:ind w:start="360"/>
        <w:ind w:firstLine="360"/>
      </w:pPr>
      <w:r>
        <w:rPr/>
      </w:r>
      <w:r>
        <w:rPr/>
      </w:r>
      <w:r>
        <w:t xml:space="preserve">No judgment obtained against any person in any proceeding to which he had become a party by reason of service of process effected pursuant to the provisions of this compact shall be subject to attack on the ground that the adjudicating court did not have personal jurisdiction over such person.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§6355. Finality of judgment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§6355. Finality of judgment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§6355. FINALITY OF JUDGMENT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