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w:t>
        <w:t xml:space="preserve">.  </w:t>
      </w:r>
      <w:r>
        <w:rPr>
          <w:b/>
        </w:rPr>
        <w:t xml:space="preserve">Jurisdiction; applications for naturalization</w:t>
      </w:r>
    </w:p>
    <w:p>
      <w:pPr>
        <w:jc w:val="both"/>
        <w:spacing w:before="100" w:after="100"/>
        <w:ind w:start="360"/>
        <w:ind w:firstLine="360"/>
      </w:pPr>
      <w:r>
        <w:rPr/>
      </w:r>
      <w:r>
        <w:rPr/>
      </w:r>
      <w:r>
        <w:t xml:space="preserve">The Superior Court shall have jurisdiction of applications for naturalization. No other court established by this State shall entertain any primary or final declaration or application made by or in behalf of an alien to become a citizen of the United States or entertain jurisdiction of the naturalization of aliens.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§6451. Jurisdiction; applications for naturalization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 Jurisdiction; applications for naturalization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§6451. JURISDICTION; APPLICATIONS FOR NATURALIZATION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