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6658</w:t>
        <w:t xml:space="preserve">.  </w:t>
      </w:r>
      <w:r>
        <w:rPr>
          <w:b/>
        </w:rPr>
        <w:t xml:space="preserve">Action by owners of wild land</w:t>
      </w:r>
    </w:p>
    <w:p>
      <w:pPr>
        <w:jc w:val="both"/>
        <w:spacing w:before="100" w:after="100"/>
        <w:ind w:start="360"/>
        <w:ind w:firstLine="360"/>
      </w:pPr>
      <w:r>
        <w:rPr/>
      </w:r>
      <w:r>
        <w:rPr/>
      </w:r>
      <w:r>
        <w:t xml:space="preserve">Any person or persons claiming an estate of freehold in wild lands or in an interest in common and undivided therein, if the plaintiff and those under whom he claims has for 4 years next prior to the filing of the complaint held such open, exclusive, peaceable, continuous and adverse possession thereof as comports with the ordinary management of wild lands in this State, may maintain an action to quiet or establish the title thereto or to remove a cloud from the title thereto, as provided in </w:t>
      </w:r>
      <w:r>
        <w:t>sections 6655</w:t>
      </w:r>
      <w:r>
        <w:t xml:space="preserve"> to </w:t>
      </w:r>
      <w:r>
        <w:t>6657</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§6658. Action by owners of wild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§6658. Action by owners of wild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§6658. ACTION BY OWNERS OF WILD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