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6955</w:t>
        <w:t xml:space="preserve">.  </w:t>
      </w:r>
      <w:r>
        <w:rPr>
          <w:b/>
        </w:rPr>
        <w:t xml:space="preserve">Recovery of damages against other persons</w:t>
      </w:r>
    </w:p>
    <w:p>
      <w:pPr>
        <w:jc w:val="both"/>
        <w:spacing w:before="100" w:after="100"/>
        <w:ind w:start="360"/>
        <w:ind w:firstLine="360"/>
      </w:pPr>
      <w:r>
        <w:rPr/>
      </w:r>
      <w:r>
        <w:rPr/>
      </w:r>
      <w:r>
        <w:t xml:space="preserve">Nothing herein contained shall prevent the plaintiff from maintaining an action for mesne profits or for damage to the premises against any person, except the defendant in a real action who has had possession of the premises or is otherwise liable to such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§6955. Recovery of damages against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§6955. Recovery of damages against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§6955. RECOVERY OF DAMAGES AGAINST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