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§6956. Betterments allowed after 6 years'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§6956. Betterments allowed after 6 years'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§6956. BETTERMENTS ALLOWED AFTER 6 YEARS'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