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Remedy if tenant commits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Remedy if tenant commits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§7501. REMEDY IF TENANT COMMITS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