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§752-E. Crime victims; profits from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§752-E. Crime victims; profits from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§752-E. CRIME VICTIMS; PROFITS FROM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