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Two years</w:t>
      </w:r>
    </w:p>
    <w:p>
      <w:pPr>
        <w:jc w:val="both"/>
        <w:spacing w:before="100" w:after="100"/>
        <w:ind w:start="360"/>
        <w:ind w:firstLine="360"/>
      </w:pPr>
      <w:r>
        <w:rPr/>
      </w:r>
      <w:r>
        <w:rPr/>
      </w:r>
      <w:r>
        <w:t xml:space="preserve">Actions for slander and libel must be commenced within 2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2021, c. 207,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 (AMD). PL 2021, c. 207,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Two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Two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§753. TWO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