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Limitation extended in cases of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Limitation extended in cases of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§859. LIMITATION EXTENDED IN CASES OF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