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9003</w:t>
        <w:t xml:space="preserve">.  </w:t>
      </w:r>
      <w:r>
        <w:rPr>
          <w:b/>
        </w:rPr>
        <w:t xml:space="preserve">Tortious interference with legally protected health care activity</w:t>
      </w:r>
    </w:p>
    <w:p>
      <w:pPr>
        <w:jc w:val="both"/>
        <w:spacing w:before="100" w:after="0"/>
        <w:ind w:start="360"/>
        <w:ind w:firstLine="360"/>
      </w:pPr>
      <w:r>
        <w:rPr>
          <w:b/>
        </w:rPr>
        <w:t>1</w:t>
        <w:t xml:space="preserve">.  </w:t>
      </w:r>
      <w:r>
        <w:rPr>
          <w:b/>
        </w:rPr>
        <w:t xml:space="preserve">Civil action.</w:t>
        <w:t xml:space="preserve"> </w:t>
      </w:r>
      <w:r>
        <w:t xml:space="preserve"> </w:t>
      </w:r>
      <w:r>
        <w:t xml:space="preserve">An aggrieved person may bring a civil action for damages, punitive damages, equitable relief, injunctive relief or any other appropriate relief against another person that, whether or not acting under color of law, files or prosecutes hostile litigation.  For purposes of this subsection, "damages" may include the amount of any judgment issued in connection with the hostile litigation as well as all other expenses, costs and reasonable attorney's fees incurred in connection with the hostile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Attorney's fees and costs.</w:t>
        <w:t xml:space="preserve"> </w:t>
      </w:r>
      <w:r>
        <w:t xml:space="preserve"> </w:t>
      </w:r>
      <w:r>
        <w:t xml:space="preserve">An aggrieved person that prevails in an action brought under this section is entitled to an award of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Exception.</w:t>
        <w:t xml:space="preserve"> </w:t>
      </w:r>
      <w:r>
        <w:t xml:space="preserve"> </w:t>
      </w:r>
      <w:r>
        <w:t xml:space="preserve">An aggrieved person may not bring an action under this section if the hostile litigation is based on conduct for which a civil, criminal or administrative action would exist under the laws of this State if the conduct or course of conduct that forms the basis for liability in the hostile litigation had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§9003. Tortious interference with legally protected health care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§9003. Tortious interference with legally protected health care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§9003. TORTIOUS INTERFERENCE WITH LEGALLY PROTECTED HEALTH CARE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