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§1094-A. Improper contact after bail has been revoked and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 Improper contact after bail has been revoked and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§1094-A. IMPROPER CONTACT AFTER BAIL HAS BEEN REVOKED AND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