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§1318. Prosecuting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Prosecuting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§1318. PROSECUTING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