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Short title</w:t>
      </w:r>
    </w:p>
    <w:p>
      <w:pPr>
        <w:jc w:val="both"/>
        <w:spacing w:before="100" w:after="100"/>
        <w:ind w:start="360"/>
        <w:ind w:firstLine="360"/>
      </w:pPr>
      <w:r>
        <w:rPr/>
      </w:r>
      <w:r>
        <w:rPr/>
      </w:r>
      <w:r>
        <w:t xml:space="preserve">This subchapter may be cited as "Uniform Act to Secure the Attendance of Witnesses from without a State in Criminal Proceedings."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