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§1705. Expenses of prisoners from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Expenses of prisoners from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§1705. EXPENSES OF PRISONERS FROM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