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Sureties to keep peace for misdemeanor</w:t>
      </w:r>
    </w:p>
    <w:p>
      <w:pPr>
        <w:jc w:val="both"/>
        <w:spacing w:before="100" w:after="100"/>
        <w:ind w:start="360"/>
        <w:ind w:firstLine="360"/>
      </w:pPr>
      <w:r>
        <w:rPr/>
      </w:r>
      <w:r>
        <w:rPr/>
      </w:r>
      <w:r>
        <w:t xml:space="preserve">In addition to the punishment prescribed by law, the court may require any person convicted of an offense not punishable by imprisonment in the State Prison to recognize to the State, with sufficient sureties, in a reasonable sum, to keep the peace and be of good behavior for a term not exceeding 2 years, and to stand committed until the person so recognizes.</w:t>
      </w:r>
      <w:r>
        <w:t xml:space="preserve">  </w:t>
      </w:r>
      <w:r xmlns:wp="http://schemas.openxmlformats.org/drawingml/2010/wordprocessingDrawing" xmlns:w15="http://schemas.microsoft.com/office/word/2012/wordml">
        <w:rPr>
          <w:rFonts w:ascii="Arial" w:hAnsi="Arial" w:cs="Arial"/>
          <w:sz w:val="22"/>
          <w:szCs w:val="22"/>
        </w:rPr>
        <w:t xml:space="preserve">[RR 2023, c. 2, Pt. D,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§1706. Sureties to keep peace for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Sureties to keep peace for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§1706. SURETIES TO KEEP PEACE FOR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