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section 1704, sentence any person convicted of an offense punishable by imprisonment to any of the work-jails nearest or most convenient to the county where the offense is committed, and all sentences of imprisonment must include labor. The keeper of the work-jail shall receive and detain the prisoner in the same manner as if committed by a court sitting in the county where the work-jail is situated. An officer of any county qualified to serve criminal precepts in the officer's county may serve any precept required by this section and section 1792, whether the service is performed in whole or in part in one or more counties, and processes must be issued and directed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D,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 Sentence to any work-jail nearest county of offense; prison sentence includes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 Sentence to any work-jail nearest county of offense; prison sentence includes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§1793. SENTENCE TO ANY WORK-JAIL NEAREST COUNTY OF OFFENSE; PRISON SENTENCE INCLUDES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